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57AB" w14:textId="77777777" w:rsidR="00A95B69" w:rsidRPr="00E45D96" w:rsidRDefault="00A95B69" w:rsidP="00A95B69">
      <w:pPr>
        <w:pStyle w:val="Balk1"/>
        <w:jc w:val="center"/>
        <w:rPr>
          <w:sz w:val="32"/>
          <w:szCs w:val="32"/>
        </w:rPr>
      </w:pPr>
      <w:r w:rsidRPr="00E45D96">
        <w:rPr>
          <w:sz w:val="32"/>
          <w:szCs w:val="32"/>
        </w:rPr>
        <w:t>Etik İhlal Nedeniyle Reddedilen Doçentlik Başvurularında İtiraz Dilekçesi (Örnek)</w:t>
      </w:r>
    </w:p>
    <w:p w14:paraId="0549E190" w14:textId="77777777" w:rsidR="00A95B69" w:rsidRDefault="00A95B69" w:rsidP="00A95B69">
      <w:pPr>
        <w:pStyle w:val="NormalWeb"/>
        <w:jc w:val="center"/>
      </w:pPr>
      <w:r>
        <w:rPr>
          <w:rStyle w:val="Gl"/>
        </w:rPr>
        <w:t>T.C. ÜNİVERSİTELERARASI KURUL BAŞKANLIĞI</w:t>
      </w:r>
      <w:r>
        <w:br/>
      </w:r>
      <w:r>
        <w:rPr>
          <w:rStyle w:val="Gl"/>
        </w:rPr>
        <w:t>Sosyal ve Beşeri Bilimler ile Güzel Sanatlar Bilimsel Araştırma ve Yayın Etiği Komisyonu’na</w:t>
      </w:r>
    </w:p>
    <w:p w14:paraId="7E5F0BC1" w14:textId="77777777" w:rsidR="00A95B69" w:rsidRDefault="00A95B69" w:rsidP="00A95B69">
      <w:pPr>
        <w:pStyle w:val="NormalWeb"/>
      </w:pPr>
      <w:r>
        <w:rPr>
          <w:rStyle w:val="Gl"/>
        </w:rPr>
        <w:t>İlgi:</w:t>
      </w:r>
      <w:r>
        <w:t xml:space="preserve"> [Komisyon yazısının tarihi ve sayısı]</w:t>
      </w:r>
      <w:r>
        <w:br/>
      </w:r>
      <w:r>
        <w:rPr>
          <w:rStyle w:val="Gl"/>
        </w:rPr>
        <w:t>Konu:</w:t>
      </w:r>
      <w:r>
        <w:t xml:space="preserve"> İlgi yazıyla tarafıma yöneltilen etik ihlal iddialarına karşı savunmalarımın sunulması</w:t>
      </w:r>
    </w:p>
    <w:p w14:paraId="1F52DF08" w14:textId="77777777" w:rsidR="00A95B69" w:rsidRDefault="00A95B69" w:rsidP="00A95B69">
      <w:pPr>
        <w:pStyle w:val="NormalWeb"/>
      </w:pPr>
      <w:r>
        <w:t>Sayın Komisyon,</w:t>
      </w:r>
    </w:p>
    <w:p w14:paraId="4942E962" w14:textId="77777777" w:rsidR="00A95B69" w:rsidRDefault="00A95B69" w:rsidP="00A95B69">
      <w:pPr>
        <w:pStyle w:val="NormalWeb"/>
        <w:jc w:val="both"/>
      </w:pPr>
      <w:r>
        <w:t>İlgi yazı ile, doçentlik başvuru dosyamı inceleyen jüriden bir üyenin etik ihlal iddiaları nedeniyle savunmamın istenmesi üzerine, aşağıdaki açıklamaların değerlendirilmesini arz ederim.</w:t>
      </w:r>
    </w:p>
    <w:p w14:paraId="27002646" w14:textId="77777777" w:rsidR="00A95B69" w:rsidRPr="00E45D96" w:rsidRDefault="00A95B69" w:rsidP="00A95B69">
      <w:pPr>
        <w:pStyle w:val="NormalWeb"/>
        <w:rPr>
          <w:rStyle w:val="Gl"/>
          <w:rFonts w:eastAsiaTheme="majorEastAsia"/>
        </w:rPr>
      </w:pPr>
      <w:r w:rsidRPr="00E45D96">
        <w:rPr>
          <w:rStyle w:val="Gl"/>
          <w:rFonts w:eastAsiaTheme="majorEastAsia"/>
        </w:rPr>
        <w:t>I. İddiaların Özeti</w:t>
      </w:r>
    </w:p>
    <w:p w14:paraId="4BC924D2" w14:textId="77777777" w:rsidR="00A95B69" w:rsidRDefault="00A95B69" w:rsidP="00A95B69">
      <w:pPr>
        <w:pStyle w:val="NormalWeb"/>
      </w:pPr>
      <w:r>
        <w:t>Rapor içeriğinde özetle şu hususlar ileri sürülmüştür:</w:t>
      </w:r>
    </w:p>
    <w:p w14:paraId="7E965A83" w14:textId="77777777" w:rsidR="00A95B69" w:rsidRDefault="00A95B69" w:rsidP="00A95B69">
      <w:pPr>
        <w:pStyle w:val="NormalWeb"/>
        <w:numPr>
          <w:ilvl w:val="0"/>
          <w:numId w:val="1"/>
        </w:numPr>
      </w:pPr>
      <w:r>
        <w:rPr>
          <w:rStyle w:val="Gl"/>
        </w:rPr>
        <w:t>Dilimleme iddiası:</w:t>
      </w:r>
    </w:p>
    <w:p w14:paraId="691B45B4" w14:textId="77777777" w:rsidR="00A95B69" w:rsidRDefault="00A95B69" w:rsidP="00A95B69">
      <w:pPr>
        <w:pStyle w:val="NormalWeb"/>
        <w:numPr>
          <w:ilvl w:val="0"/>
          <w:numId w:val="5"/>
        </w:numPr>
      </w:pPr>
      <w:r>
        <w:rPr>
          <w:rStyle w:val="Gl"/>
        </w:rPr>
        <w:t>Eser 1</w:t>
      </w:r>
      <w:r>
        <w:t xml:space="preserve"> ile </w:t>
      </w:r>
      <w:r>
        <w:rPr>
          <w:rStyle w:val="Gl"/>
        </w:rPr>
        <w:t>Eser 2</w:t>
      </w:r>
      <w:r>
        <w:t>’nin aynı örneklemden hareketle iki ayrı yayın biçiminde sunulduğu,</w:t>
      </w:r>
    </w:p>
    <w:p w14:paraId="564DFCCE" w14:textId="77777777" w:rsidR="00A95B69" w:rsidRDefault="00A95B69" w:rsidP="00A95B69">
      <w:pPr>
        <w:pStyle w:val="NormalWeb"/>
        <w:numPr>
          <w:ilvl w:val="0"/>
          <w:numId w:val="5"/>
        </w:numPr>
      </w:pPr>
      <w:r>
        <w:rPr>
          <w:rStyle w:val="Gl"/>
        </w:rPr>
        <w:t>Eser 3</w:t>
      </w:r>
      <w:r>
        <w:t xml:space="preserve"> ile </w:t>
      </w:r>
      <w:r>
        <w:rPr>
          <w:rStyle w:val="Gl"/>
        </w:rPr>
        <w:t>Eser 4</w:t>
      </w:r>
      <w:r>
        <w:t>’ün aynı zaman diliminde ve aynı örneklem üzerinde üretilen verilerle iki farklı yayın haline getirildiği,</w:t>
      </w:r>
      <w:r>
        <w:br/>
        <w:t>ve bu nedenle Üniversitelerarası Kurul Bilimsel Araştırma ve Yayın Etiği Yönergesi m.4/1-(d) kapsamında “dilimleme” yapıldığı.</w:t>
      </w:r>
    </w:p>
    <w:p w14:paraId="08E852B1" w14:textId="77777777" w:rsidR="00A95B69" w:rsidRDefault="00A95B69" w:rsidP="00A95B69">
      <w:pPr>
        <w:pStyle w:val="NormalWeb"/>
        <w:numPr>
          <w:ilvl w:val="0"/>
          <w:numId w:val="1"/>
        </w:numPr>
      </w:pPr>
      <w:r>
        <w:rPr>
          <w:rStyle w:val="Gl"/>
        </w:rPr>
        <w:t>Tekrar yayım iddiası:</w:t>
      </w:r>
    </w:p>
    <w:p w14:paraId="53B8FA56" w14:textId="77777777" w:rsidR="00A95B69" w:rsidRPr="00E45D96" w:rsidRDefault="00A95B69" w:rsidP="00A95B69">
      <w:pPr>
        <w:pStyle w:val="NormalWeb"/>
        <w:numPr>
          <w:ilvl w:val="0"/>
          <w:numId w:val="5"/>
        </w:numPr>
        <w:rPr>
          <w:rStyle w:val="Gl"/>
          <w:rFonts w:eastAsiaTheme="majorEastAsia"/>
        </w:rPr>
      </w:pPr>
      <w:r>
        <w:rPr>
          <w:rStyle w:val="Gl"/>
        </w:rPr>
        <w:t>Eser 5</w:t>
      </w:r>
      <w:r w:rsidRPr="00E45D96">
        <w:rPr>
          <w:rStyle w:val="Gl"/>
          <w:rFonts w:eastAsiaTheme="majorEastAsia"/>
        </w:rPr>
        <w:t xml:space="preserve"> (makale) ile </w:t>
      </w:r>
      <w:r>
        <w:rPr>
          <w:rStyle w:val="Gl"/>
        </w:rPr>
        <w:t>Eser 6</w:t>
      </w:r>
      <w:r w:rsidRPr="00E45D96">
        <w:rPr>
          <w:rStyle w:val="Gl"/>
          <w:rFonts w:eastAsiaTheme="majorEastAsia"/>
        </w:rPr>
        <w:t>’nın (özet bildiri) aynı çalışmayı ifade ettiği, bu sebeple m.4/1-(ç) kapsamında “tekrar yayım” bulunduğu.</w:t>
      </w:r>
    </w:p>
    <w:p w14:paraId="7A688B42" w14:textId="77777777" w:rsidR="00A95B69" w:rsidRDefault="00A95B69" w:rsidP="00A95B69">
      <w:pPr>
        <w:pStyle w:val="NormalWeb"/>
        <w:jc w:val="both"/>
      </w:pPr>
      <w:r>
        <w:t>Aşağıda, her iki iddia bakımından ayrıntılı ve delile dayalı açıklamalarımı bilgilerinize sunarım.</w:t>
      </w:r>
    </w:p>
    <w:p w14:paraId="17B350E6" w14:textId="77777777" w:rsidR="00A95B69" w:rsidRPr="00E45D96" w:rsidRDefault="00A95B69" w:rsidP="00A95B69">
      <w:pPr>
        <w:pStyle w:val="NormalWeb"/>
        <w:rPr>
          <w:b/>
        </w:rPr>
      </w:pPr>
      <w:r w:rsidRPr="00E45D96">
        <w:rPr>
          <w:b/>
        </w:rPr>
        <w:t>II. Dilimleme İddiasına Karşı Savunma</w:t>
      </w:r>
      <w:r>
        <w:rPr>
          <w:b/>
        </w:rPr>
        <w:t xml:space="preserve"> Ve İtirazlarım</w:t>
      </w:r>
    </w:p>
    <w:p w14:paraId="55334D03" w14:textId="77777777" w:rsidR="00A95B69" w:rsidRDefault="00A95B69" w:rsidP="00A95B69">
      <w:pPr>
        <w:pStyle w:val="NormalWeb"/>
      </w:pPr>
      <w:r>
        <w:rPr>
          <w:rStyle w:val="Gl"/>
        </w:rPr>
        <w:t>1. Yönerge kriterleri ve somut durum:</w:t>
      </w:r>
      <w:r>
        <w:br/>
        <w:t>Yönerge m.4/1</w:t>
      </w:r>
      <w:proofErr w:type="gramStart"/>
      <w:r>
        <w:t>-(</w:t>
      </w:r>
      <w:proofErr w:type="gramEnd"/>
      <w:r>
        <w:t xml:space="preserve">d)’de “dilimleme”, </w:t>
      </w:r>
      <w:r>
        <w:rPr>
          <w:rStyle w:val="Gl"/>
        </w:rPr>
        <w:t>tek bir araştırmanın sonuçlarının</w:t>
      </w:r>
      <w:r>
        <w:t xml:space="preserve"> araştırmanın </w:t>
      </w:r>
      <w:r>
        <w:rPr>
          <w:rStyle w:val="Gl"/>
        </w:rPr>
        <w:t>bütünlüğünü bozacak ve uygun olmayan biçimde</w:t>
      </w:r>
      <w:r>
        <w:t xml:space="preserve"> parçalara ayrılarak </w:t>
      </w:r>
      <w:r>
        <w:rPr>
          <w:rStyle w:val="Gl"/>
        </w:rPr>
        <w:t>ayrı yayınlar</w:t>
      </w:r>
      <w:r>
        <w:t xml:space="preserve"> şeklinde sunulmasıdır. Bu tanımın gerçekleşmesi için üç unsurun birlikte bulunması gerekir: (i) tek araştırma, (ii) bütünlüğü bozacak/usulsüz bölme, (iii) bunların terfi/değerlendirmede ayrı yayın gibi sunulması.</w:t>
      </w:r>
    </w:p>
    <w:p w14:paraId="2C1E548B" w14:textId="77777777" w:rsidR="00A95B69" w:rsidRDefault="00A95B69" w:rsidP="00A95B69">
      <w:pPr>
        <w:pStyle w:val="NormalWeb"/>
      </w:pPr>
      <w:r>
        <w:rPr>
          <w:rStyle w:val="Gl"/>
        </w:rPr>
        <w:t>2. Eser 1–Eser 2 bağlamı:</w:t>
      </w:r>
      <w:r>
        <w:br/>
        <w:t xml:space="preserve">Her iki çalışma </w:t>
      </w:r>
      <w:r>
        <w:rPr>
          <w:rStyle w:val="Gl"/>
        </w:rPr>
        <w:t>aynı örneklem</w:t>
      </w:r>
      <w:r>
        <w:t xml:space="preserve"> üzerinde veri toplamış olsa da </w:t>
      </w:r>
      <w:r>
        <w:rPr>
          <w:rStyle w:val="Gl"/>
        </w:rPr>
        <w:t>araştırma soruları, hipotezleri, kuramsal modelleri ve sonuçları farklıdır</w:t>
      </w:r>
      <w:r>
        <w:t xml:space="preserve">. Araştırmanın planlama aşamasında, </w:t>
      </w:r>
      <w:proofErr w:type="spellStart"/>
      <w:r>
        <w:t>pandeminin</w:t>
      </w:r>
      <w:proofErr w:type="spellEnd"/>
      <w:r>
        <w:t xml:space="preserve"> veri toplama kısıtları da dikkate alınarak </w:t>
      </w:r>
      <w:r>
        <w:rPr>
          <w:rStyle w:val="Gl"/>
        </w:rPr>
        <w:t>iki ayrı model</w:t>
      </w:r>
      <w:r>
        <w:t xml:space="preserve"> baştan tasarlanmış; </w:t>
      </w:r>
      <w:r>
        <w:lastRenderedPageBreak/>
        <w:t xml:space="preserve">aracılık ve düzenleyicilik etkileri </w:t>
      </w:r>
      <w:r>
        <w:rPr>
          <w:rStyle w:val="Gl"/>
        </w:rPr>
        <w:t>iki farklı kurgu</w:t>
      </w:r>
      <w:r>
        <w:t xml:space="preserve"> ile test edilmiştir. Anket, bu iki modeli sınayabilecek ölçekleri bir arada içerecek şekilde etik kurul onayıyla uygulanmıştır.</w:t>
      </w:r>
    </w:p>
    <w:p w14:paraId="229E13EB" w14:textId="77777777" w:rsidR="00A95B69" w:rsidRDefault="00A95B69" w:rsidP="00A95B69">
      <w:pPr>
        <w:pStyle w:val="NormalWeb"/>
        <w:numPr>
          <w:ilvl w:val="0"/>
          <w:numId w:val="2"/>
        </w:numPr>
      </w:pPr>
      <w:r>
        <w:rPr>
          <w:rStyle w:val="Gl"/>
        </w:rPr>
        <w:t>Eser 1:</w:t>
      </w:r>
      <w:r>
        <w:t xml:space="preserve"> [Kısaca odak: </w:t>
      </w:r>
      <w:proofErr w:type="spellStart"/>
      <w:r>
        <w:t>örn</w:t>
      </w:r>
      <w:proofErr w:type="spellEnd"/>
      <w:r>
        <w:t>. “Değişken A’nın B üzerindeki etkisinde C’nin aracılık rolü”]</w:t>
      </w:r>
    </w:p>
    <w:p w14:paraId="256ED36C" w14:textId="77777777" w:rsidR="00A95B69" w:rsidRDefault="00A95B69" w:rsidP="00A95B69">
      <w:pPr>
        <w:pStyle w:val="NormalWeb"/>
        <w:numPr>
          <w:ilvl w:val="0"/>
          <w:numId w:val="2"/>
        </w:numPr>
      </w:pPr>
      <w:r>
        <w:rPr>
          <w:rStyle w:val="Gl"/>
        </w:rPr>
        <w:t>Eser 2:</w:t>
      </w:r>
      <w:r>
        <w:t xml:space="preserve"> [Kısaca odak: </w:t>
      </w:r>
      <w:proofErr w:type="spellStart"/>
      <w:r>
        <w:t>örn</w:t>
      </w:r>
      <w:proofErr w:type="spellEnd"/>
      <w:r>
        <w:t>. “Değişken D ile E arasındaki ilişkide F’nin düzenleyici etkisi”]</w:t>
      </w:r>
      <w:r>
        <w:br/>
        <w:t xml:space="preserve">Bu nedenle tek bir çalışmanın usulsüzce bölünmesi değil, </w:t>
      </w:r>
      <w:r>
        <w:rPr>
          <w:rStyle w:val="Gl"/>
        </w:rPr>
        <w:t>başlangıçtan itibaren farklı araştırma amaçlarına sahip iki özgün çalışma</w:t>
      </w:r>
      <w:r>
        <w:t xml:space="preserve"> söz konusudur.</w:t>
      </w:r>
    </w:p>
    <w:p w14:paraId="27B1A0CA" w14:textId="77777777" w:rsidR="00A95B69" w:rsidRDefault="00A95B69" w:rsidP="00A95B69">
      <w:pPr>
        <w:pStyle w:val="NormalWeb"/>
      </w:pPr>
      <w:r>
        <w:rPr>
          <w:rStyle w:val="Gl"/>
        </w:rPr>
        <w:t>3. Eser 3–Eser 4 bağlamı:</w:t>
      </w:r>
      <w:r>
        <w:br/>
        <w:t xml:space="preserve">Bu iki makale de </w:t>
      </w:r>
      <w:r>
        <w:rPr>
          <w:rStyle w:val="Gl"/>
        </w:rPr>
        <w:t>aynı veri setini</w:t>
      </w:r>
      <w:r>
        <w:t xml:space="preserve"> kullanmakla birlikte </w:t>
      </w:r>
      <w:r>
        <w:rPr>
          <w:rStyle w:val="Gl"/>
        </w:rPr>
        <w:t>aynı modeli</w:t>
      </w:r>
      <w:r>
        <w:t xml:space="preserve"> parçalara ayırmamaktadır. İlk çalışmada [ör. “liderlik alt boyutları-ardıllar-demografik etkiler”] bütünleşik bir model içinde incelenmiş; ikinci çalışmada ise </w:t>
      </w:r>
      <w:r>
        <w:rPr>
          <w:rStyle w:val="Gl"/>
        </w:rPr>
        <w:t>tamamen başka bir kuramsal soru</w:t>
      </w:r>
      <w:r>
        <w:t xml:space="preserve"> (ör. “örgütsel güven-bağlılık ilişkisinde örgütsel sinizmin aracılık etkisi”) ele alınmıştır. Dolayısıyla ikinci yayın, ilk yayının alt başlığını çoğaltmak değil, </w:t>
      </w:r>
      <w:r>
        <w:rPr>
          <w:rStyle w:val="Gl"/>
        </w:rPr>
        <w:t>başka bir teorik ilişkiyi</w:t>
      </w:r>
      <w:r>
        <w:t xml:space="preserve"> bağımsız biçimde test etmektedir.</w:t>
      </w:r>
      <w:r>
        <w:br/>
        <w:t xml:space="preserve">Her iki çalışmada </w:t>
      </w:r>
      <w:r>
        <w:rPr>
          <w:rStyle w:val="Gl"/>
        </w:rPr>
        <w:t>hipotez setleri, analiz planları, tartışma ve sonuç bölümleri ayrışmıştır</w:t>
      </w:r>
      <w:r>
        <w:t>; metinler, tablolar ve kaynakça seçkisi de bu ayrımı teyit etmektedir.</w:t>
      </w:r>
    </w:p>
    <w:p w14:paraId="647234F4" w14:textId="77777777" w:rsidR="00A95B69" w:rsidRDefault="00A95B69" w:rsidP="00A95B69">
      <w:pPr>
        <w:pStyle w:val="NormalWeb"/>
      </w:pPr>
      <w:r>
        <w:rPr>
          <w:rStyle w:val="Gl"/>
        </w:rPr>
        <w:t>4. Değerlendirme:</w:t>
      </w:r>
      <w:r>
        <w:br/>
        <w:t xml:space="preserve">Aynı örneklem/veri setinin kullanılması </w:t>
      </w:r>
      <w:r>
        <w:rPr>
          <w:rStyle w:val="Gl"/>
        </w:rPr>
        <w:t>tek başına dilimleme göstergesi değildir</w:t>
      </w:r>
      <w:r>
        <w:t xml:space="preserve">. Esas olan, </w:t>
      </w:r>
      <w:r>
        <w:rPr>
          <w:rStyle w:val="Gl"/>
        </w:rPr>
        <w:t>araştırma sorusu ve sonuçlarının aynılığı</w:t>
      </w:r>
      <w:r>
        <w:t xml:space="preserve"> ile </w:t>
      </w:r>
      <w:r>
        <w:rPr>
          <w:rStyle w:val="Gl"/>
        </w:rPr>
        <w:t>bütünlüğün bozulup bozulmadığıdır</w:t>
      </w:r>
      <w:r>
        <w:t xml:space="preserve">. Somut olayda, her bir yayın kendi içinde </w:t>
      </w:r>
      <w:r>
        <w:rPr>
          <w:rStyle w:val="Gl"/>
        </w:rPr>
        <w:t>bağımsız bütünlük</w:t>
      </w:r>
      <w:r>
        <w:t xml:space="preserve"> taşımakta; </w:t>
      </w:r>
      <w:r>
        <w:rPr>
          <w:rStyle w:val="Gl"/>
        </w:rPr>
        <w:t>farklı hipotezlere</w:t>
      </w:r>
      <w:r>
        <w:t xml:space="preserve"> ve </w:t>
      </w:r>
      <w:r>
        <w:rPr>
          <w:rStyle w:val="Gl"/>
        </w:rPr>
        <w:t>farklı kuramsal katkılara</w:t>
      </w:r>
      <w:r>
        <w:t xml:space="preserve"> ulaşmaktadır. Bu nedenle m.4/1-(d) kapsamında dilimleme oluşmamıştır.</w:t>
      </w:r>
    </w:p>
    <w:p w14:paraId="0C66711A" w14:textId="77777777" w:rsidR="00A95B69" w:rsidRPr="00E45D96" w:rsidRDefault="00A95B69" w:rsidP="00A95B69">
      <w:pPr>
        <w:pStyle w:val="NormalWeb"/>
        <w:rPr>
          <w:b/>
        </w:rPr>
      </w:pPr>
      <w:r w:rsidRPr="00E45D96">
        <w:rPr>
          <w:b/>
        </w:rPr>
        <w:t xml:space="preserve">III. Tekrar Yayım (Mükerrer Yayın) İddiasına Karşı Savunma </w:t>
      </w:r>
      <w:r>
        <w:rPr>
          <w:b/>
        </w:rPr>
        <w:t>Ve İtirazlarım</w:t>
      </w:r>
    </w:p>
    <w:p w14:paraId="510D9A9B" w14:textId="77777777" w:rsidR="00A95B69" w:rsidRDefault="00A95B69" w:rsidP="00A95B69">
      <w:pPr>
        <w:pStyle w:val="NormalWeb"/>
      </w:pPr>
      <w:r>
        <w:rPr>
          <w:rStyle w:val="Gl"/>
        </w:rPr>
        <w:t>1. Tür farkı ve akademik teamül:</w:t>
      </w:r>
      <w:r>
        <w:br/>
        <w:t xml:space="preserve">İleri sürülen iddia, </w:t>
      </w:r>
      <w:r>
        <w:rPr>
          <w:rStyle w:val="Gl"/>
        </w:rPr>
        <w:t>Eser 5 (makale)</w:t>
      </w:r>
      <w:r>
        <w:t xml:space="preserve"> ile </w:t>
      </w:r>
      <w:r>
        <w:rPr>
          <w:rStyle w:val="Gl"/>
        </w:rPr>
        <w:t>Eser 6 (özet bildiri)</w:t>
      </w:r>
      <w:r>
        <w:t xml:space="preserve"> arasında “tekrar yayım” bulunduğu yönündedir. Oysa </w:t>
      </w:r>
      <w:r>
        <w:rPr>
          <w:rStyle w:val="Gl"/>
        </w:rPr>
        <w:t>özet bildiri</w:t>
      </w:r>
      <w:r>
        <w:t xml:space="preserve">, kapsam ve hedef kitle itibarıyla </w:t>
      </w:r>
      <w:r>
        <w:rPr>
          <w:rStyle w:val="Gl"/>
        </w:rPr>
        <w:t>tam metin makaleden farklı bir yayın türüdür</w:t>
      </w:r>
      <w:r>
        <w:t xml:space="preserve">. Akademik teamül gereği, </w:t>
      </w:r>
      <w:r>
        <w:rPr>
          <w:rStyle w:val="Gl"/>
        </w:rPr>
        <w:t>bildiri/özet</w:t>
      </w:r>
      <w:r>
        <w:t xml:space="preserve"> sunumlarının daha sonra </w:t>
      </w:r>
      <w:r>
        <w:rPr>
          <w:rStyle w:val="Gl"/>
        </w:rPr>
        <w:t>geliştirilerek makaleye dönüştürülmesi</w:t>
      </w:r>
      <w:r>
        <w:t xml:space="preserve"> yaygın ve meşru bir uygulamadır. Bu dönüşüm, aynı çalışmayı “ayrı yayınlar” gibi çoğaltmak değil, </w:t>
      </w:r>
      <w:r>
        <w:rPr>
          <w:rStyle w:val="Gl"/>
        </w:rPr>
        <w:t>ön bulguların genişletilip hakemli bir metin haline getirilmesidir</w:t>
      </w:r>
      <w:r>
        <w:t>.</w:t>
      </w:r>
    </w:p>
    <w:p w14:paraId="11F113F0" w14:textId="77777777" w:rsidR="00A95B69" w:rsidRDefault="00A95B69" w:rsidP="00A95B69">
      <w:pPr>
        <w:pStyle w:val="NormalWeb"/>
      </w:pPr>
      <w:r>
        <w:rPr>
          <w:rStyle w:val="Gl"/>
        </w:rPr>
        <w:t>2. Somut durum:</w:t>
      </w:r>
      <w:r>
        <w:br/>
        <w:t xml:space="preserve">Eser 6, ilgili kongrede sunulan </w:t>
      </w:r>
      <w:r>
        <w:rPr>
          <w:rStyle w:val="Gl"/>
        </w:rPr>
        <w:t>özet nitelikli bir bildiri</w:t>
      </w:r>
      <w:r>
        <w:t xml:space="preserve">dir; Eser 5 ise </w:t>
      </w:r>
      <w:r>
        <w:rPr>
          <w:rStyle w:val="Gl"/>
        </w:rPr>
        <w:t>literatür ve yöntem bakımından genişletilmiş</w:t>
      </w:r>
      <w:r>
        <w:t xml:space="preserve">, bulguları </w:t>
      </w:r>
      <w:proofErr w:type="spellStart"/>
      <w:r>
        <w:t>ayrıntılandırılmış</w:t>
      </w:r>
      <w:proofErr w:type="spellEnd"/>
      <w:r>
        <w:t xml:space="preserve"> </w:t>
      </w:r>
      <w:r>
        <w:rPr>
          <w:rStyle w:val="Gl"/>
        </w:rPr>
        <w:t>hakemli bir makaledir</w:t>
      </w:r>
      <w:r>
        <w:t xml:space="preserve">. Makalede, bildirinin sunumuna </w:t>
      </w:r>
      <w:r>
        <w:rPr>
          <w:rStyle w:val="Gl"/>
        </w:rPr>
        <w:t>dipnot/teşekkür</w:t>
      </w:r>
      <w:r>
        <w:t xml:space="preserve"> düzeyinde şeffaf atıf yapılmıştır. Bu durumda </w:t>
      </w:r>
      <w:r>
        <w:rPr>
          <w:rStyle w:val="Gl"/>
        </w:rPr>
        <w:t>m.4/1-(ç) anlamında tekrar yayım</w:t>
      </w:r>
      <w:r>
        <w:t>dan söz edilemez.</w:t>
      </w:r>
    </w:p>
    <w:p w14:paraId="689699AE" w14:textId="77777777" w:rsidR="00A95B69" w:rsidRDefault="00A95B69" w:rsidP="00A95B69">
      <w:pPr>
        <w:pStyle w:val="NormalWeb"/>
      </w:pPr>
      <w:r>
        <w:rPr>
          <w:rStyle w:val="Gl"/>
        </w:rPr>
        <w:t>3. Niyet ve menfaat unsuru:</w:t>
      </w:r>
      <w:r>
        <w:br/>
        <w:t xml:space="preserve">Söz konusu özet bildirinin </w:t>
      </w:r>
      <w:r>
        <w:rPr>
          <w:rStyle w:val="Gl"/>
        </w:rPr>
        <w:t>puanlamaya birlikte eklenmesi</w:t>
      </w:r>
      <w:r>
        <w:t xml:space="preserve"> sistemsel/</w:t>
      </w:r>
      <w:proofErr w:type="spellStart"/>
      <w:r>
        <w:t>dikkatsel</w:t>
      </w:r>
      <w:proofErr w:type="spellEnd"/>
      <w:r>
        <w:t xml:space="preserve"> bir hatadan kaynaklanmış olabilir. Adayın puan yeterliği </w:t>
      </w:r>
      <w:r>
        <w:rPr>
          <w:rStyle w:val="Gl"/>
        </w:rPr>
        <w:t>bildiri hariç</w:t>
      </w:r>
      <w:r>
        <w:t xml:space="preserve"> de sağlanıyorsa, </w:t>
      </w:r>
      <w:r>
        <w:rPr>
          <w:rStyle w:val="Gl"/>
        </w:rPr>
        <w:t>haksız menfaat kastı</w:t>
      </w:r>
      <w:r>
        <w:t xml:space="preserve">ndan bahsedilemez. Bu tür beyan hataları, etik yönergelerde aranan </w:t>
      </w:r>
      <w:r>
        <w:rPr>
          <w:rStyle w:val="Gl"/>
        </w:rPr>
        <w:t>kast unsuru</w:t>
      </w:r>
      <w:r>
        <w:t xml:space="preserve"> bulunmadıkça </w:t>
      </w:r>
      <w:r>
        <w:rPr>
          <w:rStyle w:val="Gl"/>
        </w:rPr>
        <w:t>etik ihlal olarak nitelendirilemez</w:t>
      </w:r>
      <w:r>
        <w:t xml:space="preserve">; ölçülülük ilkesi gereği </w:t>
      </w:r>
      <w:r>
        <w:rPr>
          <w:rStyle w:val="Gl"/>
        </w:rPr>
        <w:t>özensizlik</w:t>
      </w:r>
      <w:r>
        <w:t xml:space="preserve"> kapsamında değerlendirilmelidir.</w:t>
      </w:r>
    </w:p>
    <w:p w14:paraId="74928A97" w14:textId="77777777" w:rsidR="00A95B69" w:rsidRPr="00E45D96" w:rsidRDefault="00A95B69" w:rsidP="00A95B69">
      <w:pPr>
        <w:pStyle w:val="Balk2"/>
        <w:rPr>
          <w:rFonts w:ascii="Times New Roman" w:hAnsi="Times New Roman" w:cs="Times New Roman"/>
          <w:b/>
          <w:color w:val="auto"/>
        </w:rPr>
      </w:pPr>
      <w:r w:rsidRPr="00E45D96">
        <w:rPr>
          <w:rFonts w:ascii="Times New Roman" w:hAnsi="Times New Roman" w:cs="Times New Roman"/>
          <w:b/>
          <w:color w:val="auto"/>
        </w:rPr>
        <w:lastRenderedPageBreak/>
        <w:t>IV. Sonuç ve Talep</w:t>
      </w:r>
    </w:p>
    <w:p w14:paraId="34DBAFA7" w14:textId="77777777" w:rsidR="00A95B69" w:rsidRDefault="00A95B69" w:rsidP="00A95B69">
      <w:pPr>
        <w:pStyle w:val="NormalWeb"/>
      </w:pPr>
      <w:r>
        <w:t>Açıklanan nedenlerle;</w:t>
      </w:r>
    </w:p>
    <w:p w14:paraId="6AEE699D" w14:textId="77777777" w:rsidR="00A95B69" w:rsidRDefault="00A95B69" w:rsidP="00A95B69">
      <w:pPr>
        <w:pStyle w:val="NormalWeb"/>
        <w:numPr>
          <w:ilvl w:val="0"/>
          <w:numId w:val="3"/>
        </w:numPr>
        <w:jc w:val="both"/>
      </w:pPr>
      <w:r>
        <w:rPr>
          <w:rStyle w:val="Gl"/>
        </w:rPr>
        <w:t>Dilimleme</w:t>
      </w:r>
      <w:r>
        <w:t xml:space="preserve"> iddiasına konu </w:t>
      </w:r>
      <w:r>
        <w:rPr>
          <w:rStyle w:val="Gl"/>
        </w:rPr>
        <w:t>Eser 1–Eser 2</w:t>
      </w:r>
      <w:r>
        <w:t xml:space="preserve"> ile </w:t>
      </w:r>
      <w:r>
        <w:rPr>
          <w:rStyle w:val="Gl"/>
        </w:rPr>
        <w:t>Eser 3–Eser 4</w:t>
      </w:r>
      <w:r>
        <w:t xml:space="preserve">; </w:t>
      </w:r>
      <w:r>
        <w:rPr>
          <w:rStyle w:val="Gl"/>
        </w:rPr>
        <w:t>amaç, hipotez, model ve sonuçlar</w:t>
      </w:r>
      <w:r>
        <w:t xml:space="preserve"> itibarıyla birbirinden </w:t>
      </w:r>
      <w:r>
        <w:rPr>
          <w:rStyle w:val="Gl"/>
        </w:rPr>
        <w:t>ayrı ve özgün</w:t>
      </w:r>
      <w:r>
        <w:t xml:space="preserve"> çalışmalardır. </w:t>
      </w:r>
      <w:r>
        <w:rPr>
          <w:rStyle w:val="Gl"/>
        </w:rPr>
        <w:t>Araştırma bütünlüğü bozulmamıştır.</w:t>
      </w:r>
    </w:p>
    <w:p w14:paraId="5756A4F8" w14:textId="77777777" w:rsidR="00A95B69" w:rsidRDefault="00A95B69" w:rsidP="00A95B69">
      <w:pPr>
        <w:pStyle w:val="NormalWeb"/>
        <w:numPr>
          <w:ilvl w:val="0"/>
          <w:numId w:val="3"/>
        </w:numPr>
        <w:jc w:val="both"/>
      </w:pPr>
      <w:r>
        <w:rPr>
          <w:rStyle w:val="Gl"/>
        </w:rPr>
        <w:t>Tekrar yayım</w:t>
      </w:r>
      <w:r>
        <w:t xml:space="preserve"> iddiasına konu </w:t>
      </w:r>
      <w:r>
        <w:rPr>
          <w:rStyle w:val="Gl"/>
        </w:rPr>
        <w:t>Eser 5 (makale)</w:t>
      </w:r>
      <w:r>
        <w:t xml:space="preserve"> ile </w:t>
      </w:r>
      <w:r>
        <w:rPr>
          <w:rStyle w:val="Gl"/>
        </w:rPr>
        <w:t>Eser 6 (özet bildiri)</w:t>
      </w:r>
      <w:r>
        <w:t xml:space="preserve">, </w:t>
      </w:r>
      <w:r>
        <w:rPr>
          <w:rStyle w:val="Gl"/>
        </w:rPr>
        <w:t>farklı yayın türleri</w:t>
      </w:r>
      <w:r>
        <w:t xml:space="preserve"> olup makalenin bildiriyi </w:t>
      </w:r>
      <w:r>
        <w:rPr>
          <w:rStyle w:val="Gl"/>
        </w:rPr>
        <w:t>genişleterek</w:t>
      </w:r>
      <w:r>
        <w:t xml:space="preserve"> akademik yayına dönüştürmesi niteliğindedir; bu nedenle </w:t>
      </w:r>
      <w:r>
        <w:rPr>
          <w:rStyle w:val="Gl"/>
        </w:rPr>
        <w:t>mükerrer yayın</w:t>
      </w:r>
      <w:r>
        <w:t xml:space="preserve"> sayılamaz.</w:t>
      </w:r>
    </w:p>
    <w:p w14:paraId="32039E87" w14:textId="77777777" w:rsidR="00A95B69" w:rsidRDefault="00A95B69" w:rsidP="00A95B69">
      <w:pPr>
        <w:pStyle w:val="NormalWeb"/>
        <w:numPr>
          <w:ilvl w:val="0"/>
          <w:numId w:val="3"/>
        </w:numPr>
        <w:jc w:val="both"/>
      </w:pPr>
      <w:r>
        <w:t xml:space="preserve">Puanlamaya ilişkin olası beyan hatası </w:t>
      </w:r>
      <w:r>
        <w:rPr>
          <w:rStyle w:val="Gl"/>
        </w:rPr>
        <w:t>haksız menfaat</w:t>
      </w:r>
      <w:r>
        <w:t xml:space="preserve"> sağlamamakta, </w:t>
      </w:r>
      <w:r>
        <w:rPr>
          <w:rStyle w:val="Gl"/>
        </w:rPr>
        <w:t>kast unsuru</w:t>
      </w:r>
      <w:r>
        <w:t xml:space="preserve"> bulunmadığından </w:t>
      </w:r>
      <w:r>
        <w:rPr>
          <w:rStyle w:val="Gl"/>
        </w:rPr>
        <w:t>etik ihlal</w:t>
      </w:r>
      <w:r>
        <w:t xml:space="preserve"> oluşturmaz.</w:t>
      </w:r>
    </w:p>
    <w:p w14:paraId="4FE5721D" w14:textId="77777777" w:rsidR="00A95B69" w:rsidRDefault="00A95B69" w:rsidP="00A95B69">
      <w:pPr>
        <w:pStyle w:val="NormalWeb"/>
        <w:jc w:val="both"/>
      </w:pPr>
      <w:r>
        <w:t xml:space="preserve">Bu çerçevede; </w:t>
      </w:r>
      <w:r>
        <w:rPr>
          <w:rStyle w:val="Gl"/>
        </w:rPr>
        <w:t>etik ihlal bulunmadığına</w:t>
      </w:r>
      <w:r>
        <w:t xml:space="preserve"> karar verilmesini, aksi hâlde puanlamaya konu teknik hatanın </w:t>
      </w:r>
      <w:r>
        <w:rPr>
          <w:rStyle w:val="Gl"/>
        </w:rPr>
        <w:t>düzeltilmesi</w:t>
      </w:r>
      <w:r>
        <w:t xml:space="preserve"> ile yetinilmesini saygıyla arz ederim.[</w:t>
      </w:r>
      <w:r>
        <w:rPr>
          <w:rStyle w:val="Gl"/>
        </w:rPr>
        <w:t>Tarih</w:t>
      </w:r>
      <w:r>
        <w:t>]</w:t>
      </w:r>
    </w:p>
    <w:p w14:paraId="3057B0E8" w14:textId="77777777" w:rsidR="00A95B69" w:rsidRDefault="00A95B69" w:rsidP="00A95B69">
      <w:pPr>
        <w:pStyle w:val="NormalWeb"/>
        <w:jc w:val="right"/>
        <w:rPr>
          <w:rStyle w:val="Gl"/>
          <w:rFonts w:eastAsiaTheme="majorEastAsia"/>
        </w:rPr>
      </w:pPr>
      <w:r>
        <w:rPr>
          <w:rStyle w:val="Gl"/>
        </w:rPr>
        <w:t>Aday</w:t>
      </w:r>
      <w:r>
        <w:rPr>
          <w:rStyle w:val="Gl"/>
          <w:rFonts w:eastAsiaTheme="majorEastAsia"/>
        </w:rPr>
        <w:t xml:space="preserve"> Ad-</w:t>
      </w:r>
      <w:proofErr w:type="spellStart"/>
      <w:r>
        <w:rPr>
          <w:rStyle w:val="Gl"/>
          <w:rFonts w:eastAsiaTheme="majorEastAsia"/>
        </w:rPr>
        <w:t>Soyad</w:t>
      </w:r>
      <w:proofErr w:type="spellEnd"/>
      <w:r>
        <w:rPr>
          <w:rStyle w:val="Gl"/>
          <w:rFonts w:eastAsiaTheme="majorEastAsia"/>
        </w:rPr>
        <w:t xml:space="preserve"> </w:t>
      </w:r>
    </w:p>
    <w:p w14:paraId="2F2A7D1D" w14:textId="77777777" w:rsidR="00A95B69" w:rsidRDefault="00A95B69" w:rsidP="00A95B69">
      <w:pPr>
        <w:pStyle w:val="NormalWeb"/>
        <w:jc w:val="right"/>
      </w:pPr>
      <w:r>
        <w:rPr>
          <w:rStyle w:val="Gl"/>
          <w:rFonts w:eastAsiaTheme="majorEastAsia"/>
        </w:rPr>
        <w:t>İmza</w:t>
      </w:r>
      <w:r>
        <w:br/>
      </w:r>
    </w:p>
    <w:p w14:paraId="0C0E8A4B" w14:textId="77777777" w:rsidR="00A95B69" w:rsidRDefault="00A95B69" w:rsidP="00A95B69">
      <w:pPr>
        <w:pStyle w:val="NormalWeb"/>
      </w:pPr>
      <w:r>
        <w:rPr>
          <w:rStyle w:val="Gl"/>
        </w:rPr>
        <w:t>Ekler:</w:t>
      </w:r>
    </w:p>
    <w:p w14:paraId="24DC2109" w14:textId="77777777" w:rsidR="00A95B69" w:rsidRDefault="00A95B69" w:rsidP="00A95B69">
      <w:pPr>
        <w:pStyle w:val="NormalWeb"/>
        <w:numPr>
          <w:ilvl w:val="0"/>
          <w:numId w:val="4"/>
        </w:numPr>
      </w:pPr>
      <w:r>
        <w:t>Eser 1–Eser 6 künyeleri ve karşılaştırmalı tablo</w:t>
      </w:r>
    </w:p>
    <w:p w14:paraId="2BEC1C2E" w14:textId="77777777" w:rsidR="00A95B69" w:rsidRDefault="00A95B69" w:rsidP="00A95B69">
      <w:pPr>
        <w:pStyle w:val="NormalWeb"/>
        <w:numPr>
          <w:ilvl w:val="0"/>
          <w:numId w:val="4"/>
        </w:numPr>
      </w:pPr>
      <w:r>
        <w:t>Etik kurul izin/onay belgeleri (varsa)</w:t>
      </w:r>
    </w:p>
    <w:p w14:paraId="1C01D63F" w14:textId="77777777" w:rsidR="00A95B69" w:rsidRDefault="00A95B69" w:rsidP="00A95B69">
      <w:pPr>
        <w:pStyle w:val="NormalWeb"/>
        <w:numPr>
          <w:ilvl w:val="0"/>
          <w:numId w:val="4"/>
        </w:numPr>
      </w:pPr>
      <w:r>
        <w:t>İlgili dergi/kongre yazışmaları (varsa)</w:t>
      </w:r>
    </w:p>
    <w:p w14:paraId="0D84F7F2" w14:textId="77777777" w:rsidR="00A95B69" w:rsidRDefault="00A95B69" w:rsidP="00A95B69">
      <w:pPr>
        <w:pStyle w:val="NormalWeb"/>
        <w:numPr>
          <w:ilvl w:val="0"/>
          <w:numId w:val="4"/>
        </w:numPr>
      </w:pPr>
      <w:r>
        <w:t>Diğer destekleyici belgeler</w:t>
      </w:r>
    </w:p>
    <w:p w14:paraId="4128B636" w14:textId="77777777" w:rsidR="00A95B69" w:rsidRPr="001A15DC" w:rsidRDefault="00A95B69" w:rsidP="00A95B69"/>
    <w:p w14:paraId="51E31167" w14:textId="77777777" w:rsidR="00F32D18" w:rsidRDefault="00F32D18"/>
    <w:sectPr w:rsidR="00F3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5F0"/>
    <w:multiLevelType w:val="multilevel"/>
    <w:tmpl w:val="93C4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52960"/>
    <w:multiLevelType w:val="hybridMultilevel"/>
    <w:tmpl w:val="21AAD0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67E3"/>
    <w:multiLevelType w:val="multilevel"/>
    <w:tmpl w:val="61F0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414E6"/>
    <w:multiLevelType w:val="multilevel"/>
    <w:tmpl w:val="F63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D20DA"/>
    <w:multiLevelType w:val="multilevel"/>
    <w:tmpl w:val="2504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69"/>
    <w:rsid w:val="004E2F09"/>
    <w:rsid w:val="00A95B69"/>
    <w:rsid w:val="00F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D1E5"/>
  <w15:chartTrackingRefBased/>
  <w15:docId w15:val="{7A63992B-959E-4956-BAEE-59480C14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69"/>
  </w:style>
  <w:style w:type="paragraph" w:styleId="Balk1">
    <w:name w:val="heading 1"/>
    <w:basedOn w:val="Normal"/>
    <w:link w:val="Balk1Char"/>
    <w:uiPriority w:val="9"/>
    <w:qFormat/>
    <w:rsid w:val="00A95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95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5B6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95B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9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5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 b</cp:lastModifiedBy>
  <cp:revision>2</cp:revision>
  <dcterms:created xsi:type="dcterms:W3CDTF">2025-09-15T12:19:00Z</dcterms:created>
  <dcterms:modified xsi:type="dcterms:W3CDTF">2025-09-15T12:19:00Z</dcterms:modified>
</cp:coreProperties>
</file>