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4BBB" w14:textId="77777777" w:rsidR="00A0683C" w:rsidRDefault="00A0683C" w:rsidP="00A0683C">
      <w:pPr>
        <w:pStyle w:val="NormalWeb"/>
        <w:jc w:val="center"/>
        <w:rPr>
          <w:rStyle w:val="Gl"/>
          <w:rFonts w:eastAsiaTheme="majorEastAsia"/>
        </w:rPr>
      </w:pPr>
      <w:r w:rsidRPr="002432D8">
        <w:rPr>
          <w:rStyle w:val="Gl"/>
          <w:rFonts w:eastAsiaTheme="majorEastAsia"/>
        </w:rPr>
        <w:t>T.C.</w:t>
      </w:r>
    </w:p>
    <w:p w14:paraId="25A7333B" w14:textId="77777777" w:rsidR="00A0683C" w:rsidRPr="002432D8" w:rsidRDefault="00A0683C" w:rsidP="00A0683C">
      <w:pPr>
        <w:pStyle w:val="NormalWeb"/>
        <w:jc w:val="center"/>
        <w:rPr>
          <w:rFonts w:eastAsiaTheme="majorEastAsia"/>
          <w:b/>
          <w:bCs/>
        </w:rPr>
      </w:pPr>
      <w:r>
        <w:rPr>
          <w:rStyle w:val="Gl"/>
        </w:rPr>
        <w:t>ÜNİVERSİTELERARASI KURUL BAŞKANLIĞI</w:t>
      </w:r>
      <w:r>
        <w:br/>
      </w:r>
      <w:r>
        <w:rPr>
          <w:rStyle w:val="Gl"/>
        </w:rPr>
        <w:t>Doçentlik Komisyonu’na</w:t>
      </w:r>
    </w:p>
    <w:p w14:paraId="1A65204C" w14:textId="77777777" w:rsidR="00A0683C" w:rsidRDefault="00A0683C" w:rsidP="00A0683C">
      <w:pPr>
        <w:pStyle w:val="NormalWeb"/>
        <w:jc w:val="both"/>
      </w:pPr>
      <w:r>
        <w:rPr>
          <w:rStyle w:val="Gl"/>
        </w:rPr>
        <w:t>Konu:</w:t>
      </w:r>
      <w:r>
        <w:t xml:space="preserve"> … döneminde yapmış olduğum doçentlik başvurusunun, jüri üyeleri tarafından tarafıma ilişkin “başarısız” raporları düzenlenmesi sonucu reddedilmesine ilişkin işlemin iptali için itiraz dilekçesidir.</w:t>
      </w:r>
    </w:p>
    <w:p w14:paraId="3494D07D" w14:textId="77777777" w:rsidR="00A0683C" w:rsidRPr="002432D8" w:rsidRDefault="00A0683C" w:rsidP="00A0683C">
      <w:pPr>
        <w:pStyle w:val="Balk2"/>
        <w:rPr>
          <w:rFonts w:ascii="Times New Roman" w:hAnsi="Times New Roman" w:cs="Times New Roman"/>
          <w:b/>
          <w:color w:val="auto"/>
        </w:rPr>
      </w:pPr>
      <w:r w:rsidRPr="002432D8">
        <w:rPr>
          <w:rFonts w:ascii="Times New Roman" w:hAnsi="Times New Roman" w:cs="Times New Roman"/>
          <w:b/>
          <w:color w:val="auto"/>
        </w:rPr>
        <w:t>AÇIKLAMALAR</w:t>
      </w:r>
    </w:p>
    <w:p w14:paraId="4C0F0CD2" w14:textId="77777777" w:rsidR="00A0683C" w:rsidRDefault="00A0683C" w:rsidP="00A0683C">
      <w:pPr>
        <w:pStyle w:val="NormalWeb"/>
        <w:jc w:val="both"/>
      </w:pPr>
      <w:r w:rsidRPr="002432D8">
        <w:rPr>
          <w:b/>
        </w:rPr>
        <w:t>1.</w:t>
      </w:r>
      <w:r w:rsidRPr="002432D8">
        <w:t xml:space="preserve">… </w:t>
      </w:r>
      <w:r>
        <w:t xml:space="preserve">döneminde … bilim alanından yaptığım doçentlik başvurusu, jüri üyeleri tarafından değerlendirilmiş; 5 asıl jüri üyesinden 3’ü çalışmalarımı başarısız bulduklarını belirterek olumsuz rapor düzenlemiştir. Bu nedenle başvurum </w:t>
      </w:r>
      <w:proofErr w:type="spellStart"/>
      <w:proofErr w:type="gramStart"/>
      <w:r>
        <w:t>reddedilmiştir.Ancak</w:t>
      </w:r>
      <w:proofErr w:type="spellEnd"/>
      <w:proofErr w:type="gramEnd"/>
      <w:r>
        <w:t xml:space="preserve"> söz konusu raporlar incelendiğinde, değerlendirmelerin objektiflikten uzak olduğu, bilimsel gerekçelerden yoksun bulunduğu ve mevzuatta öngörülen ayrıntılı inceleme yükümlülüğünün yerine getirilmediği görülmektedir.</w:t>
      </w:r>
    </w:p>
    <w:p w14:paraId="786BC414" w14:textId="77777777" w:rsidR="00A0683C" w:rsidRDefault="00A0683C" w:rsidP="00A0683C">
      <w:pPr>
        <w:pStyle w:val="Balk3"/>
        <w:jc w:val="both"/>
      </w:pPr>
      <w:r w:rsidRPr="002432D8">
        <w:rPr>
          <w:rFonts w:ascii="Times New Roman" w:hAnsi="Times New Roman" w:cs="Times New Roman"/>
          <w:b/>
          <w:color w:val="auto"/>
        </w:rPr>
        <w:t>2.</w:t>
      </w:r>
      <w:r w:rsidRPr="002432D8">
        <w:rPr>
          <w:color w:val="auto"/>
        </w:rPr>
        <w:t xml:space="preserve"> </w:t>
      </w:r>
      <w:r w:rsidRPr="002432D8">
        <w:rPr>
          <w:rFonts w:ascii="Times New Roman" w:eastAsia="Times New Roman" w:hAnsi="Times New Roman" w:cs="Times New Roman"/>
          <w:color w:val="auto"/>
          <w:lang w:eastAsia="tr-TR"/>
        </w:rPr>
        <w:t xml:space="preserve">Doçentlik Yönetmeliği uyarınca jüri üyeleri, adayın tüm eserlerini </w:t>
      </w:r>
      <w:r w:rsidRPr="002432D8">
        <w:rPr>
          <w:rFonts w:ascii="Times New Roman" w:eastAsia="Times New Roman" w:hAnsi="Times New Roman" w:cs="Times New Roman"/>
          <w:b/>
          <w:bCs/>
          <w:color w:val="auto"/>
          <w:lang w:eastAsia="tr-TR"/>
        </w:rPr>
        <w:t>etik uygunluk, asgari koşullar ve bilim alanı uyumu</w:t>
      </w:r>
      <w:r w:rsidRPr="002432D8">
        <w:rPr>
          <w:rFonts w:ascii="Times New Roman" w:eastAsia="Times New Roman" w:hAnsi="Times New Roman" w:cs="Times New Roman"/>
          <w:color w:val="auto"/>
          <w:lang w:eastAsia="tr-TR"/>
        </w:rPr>
        <w:t xml:space="preserve"> bakımından ayrıntılı şekilde incelemek zorundadır. Oysa hakkımda düzenlenen raporlar, hangi eserin neden yetersiz görüldüğünü açıklamamakta, sadece genel nitelikli olumsuz ifadeler içermektedir.</w:t>
      </w:r>
      <w:r>
        <w:rPr>
          <w:rFonts w:ascii="Times New Roman" w:eastAsia="Times New Roman" w:hAnsi="Times New Roman" w:cs="Times New Roman"/>
          <w:color w:val="auto"/>
          <w:lang w:eastAsia="tr-TR"/>
        </w:rPr>
        <w:t xml:space="preserve"> İdare mahkemelerinin</w:t>
      </w:r>
      <w:r w:rsidRPr="002432D8">
        <w:rPr>
          <w:rFonts w:ascii="Times New Roman" w:eastAsia="Times New Roman" w:hAnsi="Times New Roman" w:cs="Times New Roman"/>
          <w:color w:val="auto"/>
          <w:lang w:eastAsia="tr-TR"/>
        </w:rPr>
        <w:t xml:space="preserve"> yerleşik içtihatlarında da jüri raporlarının </w:t>
      </w:r>
      <w:r w:rsidRPr="002432D8">
        <w:rPr>
          <w:rFonts w:ascii="Times New Roman" w:eastAsia="Times New Roman" w:hAnsi="Times New Roman" w:cs="Times New Roman"/>
          <w:b/>
          <w:bCs/>
          <w:color w:val="auto"/>
          <w:lang w:eastAsia="tr-TR"/>
        </w:rPr>
        <w:t>somut, ölçülebilir ve gerekçeli</w:t>
      </w:r>
      <w:r w:rsidRPr="002432D8">
        <w:rPr>
          <w:rFonts w:ascii="Times New Roman" w:eastAsia="Times New Roman" w:hAnsi="Times New Roman" w:cs="Times New Roman"/>
          <w:color w:val="auto"/>
          <w:lang w:eastAsia="tr-TR"/>
        </w:rPr>
        <w:t xml:space="preserve"> olması gerektiği belirtilmiştir. Gerekçe içermeyen, soyut nitelikteki değerlendirmeler hukuken geçerli değildir.</w:t>
      </w:r>
    </w:p>
    <w:p w14:paraId="594E33C4" w14:textId="77777777" w:rsidR="00A0683C" w:rsidRDefault="00A0683C" w:rsidP="00A0683C">
      <w:pPr>
        <w:pStyle w:val="NormalWeb"/>
      </w:pPr>
      <w:r>
        <w:t>Başvuruda sunduğum eserlerim, ilgili bilim alanı kapsamında hazırlanmış özgün ve nitelikli çalışmalardır. Örneğin:</w:t>
      </w:r>
    </w:p>
    <w:p w14:paraId="2824D3D3" w14:textId="77777777" w:rsidR="00A0683C" w:rsidRDefault="00A0683C" w:rsidP="00A0683C">
      <w:pPr>
        <w:pStyle w:val="NormalWeb"/>
        <w:numPr>
          <w:ilvl w:val="0"/>
          <w:numId w:val="1"/>
        </w:numPr>
      </w:pPr>
      <w:r>
        <w:t>[Makale – 20…]</w:t>
      </w:r>
    </w:p>
    <w:p w14:paraId="27DF1587" w14:textId="77777777" w:rsidR="00A0683C" w:rsidRDefault="00A0683C" w:rsidP="00A0683C">
      <w:pPr>
        <w:pStyle w:val="NormalWeb"/>
        <w:numPr>
          <w:ilvl w:val="0"/>
          <w:numId w:val="1"/>
        </w:numPr>
      </w:pPr>
      <w:r>
        <w:t>[Uluslararası Kongre Bildirisi – 20…]</w:t>
      </w:r>
    </w:p>
    <w:p w14:paraId="3449A7A6" w14:textId="77777777" w:rsidR="00A0683C" w:rsidRDefault="00A0683C" w:rsidP="00A0683C">
      <w:pPr>
        <w:pStyle w:val="NormalWeb"/>
        <w:numPr>
          <w:ilvl w:val="0"/>
          <w:numId w:val="1"/>
        </w:numPr>
      </w:pPr>
      <w:r>
        <w:t>[Makale – 20…]</w:t>
      </w:r>
    </w:p>
    <w:p w14:paraId="08B14959" w14:textId="77777777" w:rsidR="00A0683C" w:rsidRDefault="00A0683C" w:rsidP="00A0683C">
      <w:pPr>
        <w:pStyle w:val="NormalWeb"/>
        <w:numPr>
          <w:ilvl w:val="0"/>
          <w:numId w:val="1"/>
        </w:numPr>
      </w:pPr>
      <w:r>
        <w:t>[Ulusal Dergi Makalesi – 20…]</w:t>
      </w:r>
    </w:p>
    <w:p w14:paraId="14579E19" w14:textId="77777777" w:rsidR="00A0683C" w:rsidRDefault="00A0683C" w:rsidP="00A0683C">
      <w:pPr>
        <w:pStyle w:val="NormalWeb"/>
        <w:numPr>
          <w:ilvl w:val="0"/>
          <w:numId w:val="1"/>
        </w:numPr>
      </w:pPr>
      <w:r>
        <w:t>[Uluslararası Bildiri – 20…]</w:t>
      </w:r>
    </w:p>
    <w:p w14:paraId="0058D27E" w14:textId="77777777" w:rsidR="00A0683C" w:rsidRDefault="00A0683C" w:rsidP="00A0683C">
      <w:pPr>
        <w:pStyle w:val="NormalWeb"/>
        <w:jc w:val="both"/>
      </w:pPr>
      <w:r>
        <w:t>Bu çalışmalar hem akademik literatüre katkı sunmakta hem de başvuru yapılan bilim alanının kriterlerini karşılamaktadır. Jüri üyelerinin eserlerimi yeterli görmemesi, bilimsel gerçeklerle ve Doçentlik Yönetmeliği’nin ruhuyla bağdaşmamaktadır.</w:t>
      </w:r>
    </w:p>
    <w:p w14:paraId="6A8FE218" w14:textId="77777777" w:rsidR="00A0683C" w:rsidRDefault="00A0683C" w:rsidP="00A0683C">
      <w:pPr>
        <w:pStyle w:val="NormalWeb"/>
        <w:jc w:val="both"/>
      </w:pPr>
      <w:r w:rsidRPr="002432D8">
        <w:rPr>
          <w:rFonts w:eastAsiaTheme="majorEastAsia"/>
          <w:b/>
          <w:lang w:eastAsia="en-US"/>
        </w:rPr>
        <w:t>3.</w:t>
      </w:r>
      <w:r>
        <w:t>Literatürde de tartışıldığı üzere, doçentlik başvurularında jüri değerlendirmelerinin nesnelliği sıkça eleştirilmiştir. Jüri üyelerinin takdir yetkileri teknik değerlendirmelerle sınırlıdır; sübjektif kanaatlerle adayın akademik kariyerine yön verilmesi kabul edilemez.</w:t>
      </w:r>
    </w:p>
    <w:p w14:paraId="2CE1A703" w14:textId="77777777" w:rsidR="00A0683C" w:rsidRDefault="00A0683C" w:rsidP="00A0683C">
      <w:pPr>
        <w:pStyle w:val="NormalWeb"/>
        <w:jc w:val="both"/>
      </w:pPr>
      <w:r w:rsidRPr="002432D8">
        <w:rPr>
          <w:rFonts w:eastAsiaTheme="majorEastAsia"/>
          <w:b/>
          <w:lang w:eastAsia="en-US"/>
        </w:rPr>
        <w:t>4.</w:t>
      </w:r>
      <w:r>
        <w:t>Eserlerimin başarısız kabul edilmesi, herhangi bir bilimsel gerekçeyle açıklanmadığı gibi, hangi yayın kriterlerinin karşılanmadığı da belirtilmemiştir. Bu durum, hem mevzuata hem de yargı kararlarında öngörülen ilkelere aykırıdır.</w:t>
      </w:r>
    </w:p>
    <w:p w14:paraId="67D0DC5A" w14:textId="77777777" w:rsidR="00A0683C" w:rsidRDefault="00A0683C" w:rsidP="00A0683C">
      <w:pPr>
        <w:pStyle w:val="NormalWeb"/>
        <w:jc w:val="both"/>
      </w:pPr>
      <w:r w:rsidRPr="002432D8">
        <w:rPr>
          <w:rFonts w:eastAsiaTheme="majorEastAsia"/>
          <w:b/>
          <w:lang w:eastAsia="en-US"/>
        </w:rPr>
        <w:t>5.</w:t>
      </w:r>
      <w:r>
        <w:t xml:space="preserve">Benzer şekilde, başka adayların eserleri “başarısız” ya da “alan dışı” kabul edilerek başvuruları reddedilmiş, fakat açılan davalarda idare mahkemeleri </w:t>
      </w:r>
      <w:r>
        <w:rPr>
          <w:rStyle w:val="Gl"/>
        </w:rPr>
        <w:t>ÜAK işlemlerinin iptaline</w:t>
      </w:r>
      <w:r>
        <w:t xml:space="preserve"> karar vermiştir. Bu kararlarda:</w:t>
      </w:r>
    </w:p>
    <w:p w14:paraId="52A266B9" w14:textId="77777777" w:rsidR="00A0683C" w:rsidRDefault="00A0683C" w:rsidP="00A0683C">
      <w:pPr>
        <w:pStyle w:val="NormalWeb"/>
        <w:numPr>
          <w:ilvl w:val="0"/>
          <w:numId w:val="2"/>
        </w:numPr>
      </w:pPr>
      <w:proofErr w:type="spellStart"/>
      <w:r>
        <w:lastRenderedPageBreak/>
        <w:t>Disiplinlerarası</w:t>
      </w:r>
      <w:proofErr w:type="spellEnd"/>
      <w:r>
        <w:t xml:space="preserve"> çalışmaların alan dışı sayılamayacağı,</w:t>
      </w:r>
    </w:p>
    <w:p w14:paraId="3B4BB4FA" w14:textId="77777777" w:rsidR="00A0683C" w:rsidRDefault="00A0683C" w:rsidP="00A0683C">
      <w:pPr>
        <w:pStyle w:val="NormalWeb"/>
        <w:numPr>
          <w:ilvl w:val="0"/>
          <w:numId w:val="2"/>
        </w:numPr>
      </w:pPr>
      <w:r>
        <w:t>Jüri raporlarının gerekçesiz olamayacağı,</w:t>
      </w:r>
    </w:p>
    <w:p w14:paraId="626AB8A1" w14:textId="77777777" w:rsidR="00A0683C" w:rsidRDefault="00A0683C" w:rsidP="00A0683C">
      <w:pPr>
        <w:pStyle w:val="NormalWeb"/>
        <w:numPr>
          <w:ilvl w:val="0"/>
          <w:numId w:val="2"/>
        </w:numPr>
      </w:pPr>
      <w:r>
        <w:t>Doçentlik kriterlerini sağlayan çalışmaların başarısız kabul edilemeyeceği açıkça belirtilmiştir.</w:t>
      </w:r>
    </w:p>
    <w:p w14:paraId="3339E237" w14:textId="77777777" w:rsidR="00A0683C" w:rsidRDefault="00A0683C" w:rsidP="00A0683C">
      <w:pPr>
        <w:pStyle w:val="NormalWeb"/>
      </w:pPr>
      <w:r>
        <w:t>Bu içtihatlar, tarafıma yönelik işlemin de hukuka aykırı olduğunu göstermektedir.</w:t>
      </w:r>
    </w:p>
    <w:p w14:paraId="4EA816C5" w14:textId="77777777" w:rsidR="00A0683C" w:rsidRPr="002432D8" w:rsidRDefault="00A0683C" w:rsidP="00A0683C">
      <w:pPr>
        <w:pStyle w:val="Balk2"/>
        <w:rPr>
          <w:rFonts w:ascii="Times New Roman" w:hAnsi="Times New Roman" w:cs="Times New Roman"/>
          <w:b/>
          <w:color w:val="auto"/>
        </w:rPr>
      </w:pPr>
      <w:r w:rsidRPr="002432D8">
        <w:rPr>
          <w:rFonts w:ascii="Times New Roman" w:hAnsi="Times New Roman" w:cs="Times New Roman"/>
          <w:b/>
          <w:color w:val="auto"/>
        </w:rPr>
        <w:t>SONUÇ VE TALEP</w:t>
      </w:r>
    </w:p>
    <w:p w14:paraId="217E65A6" w14:textId="77777777" w:rsidR="00A0683C" w:rsidRDefault="00A0683C" w:rsidP="00A0683C">
      <w:pPr>
        <w:pStyle w:val="NormalWeb"/>
      </w:pPr>
      <w:r>
        <w:t>Yukarıda arz edilen nedenlerle;</w:t>
      </w:r>
    </w:p>
    <w:p w14:paraId="090E623B" w14:textId="77777777" w:rsidR="00A0683C" w:rsidRDefault="00A0683C" w:rsidP="00A0683C">
      <w:pPr>
        <w:pStyle w:val="NormalWeb"/>
        <w:numPr>
          <w:ilvl w:val="0"/>
          <w:numId w:val="3"/>
        </w:numPr>
      </w:pPr>
      <w:r>
        <w:t>Hakkımda düzenlenen jüri raporlarının objektiflikten uzak ve gerekçesiz olması,</w:t>
      </w:r>
    </w:p>
    <w:p w14:paraId="07DB2B82" w14:textId="77777777" w:rsidR="00A0683C" w:rsidRDefault="00A0683C" w:rsidP="00A0683C">
      <w:pPr>
        <w:pStyle w:val="NormalWeb"/>
        <w:numPr>
          <w:ilvl w:val="0"/>
          <w:numId w:val="3"/>
        </w:numPr>
      </w:pPr>
      <w:r>
        <w:t>Eserlerimin bilim alanıyla uyumlu ve nitelikli çalışmalar olmasına rağmen başarısız kabul edilmesi,</w:t>
      </w:r>
    </w:p>
    <w:p w14:paraId="7E20C4EF" w14:textId="77777777" w:rsidR="00A0683C" w:rsidRDefault="00A0683C" w:rsidP="00A0683C">
      <w:pPr>
        <w:pStyle w:val="NormalWeb"/>
        <w:numPr>
          <w:ilvl w:val="0"/>
          <w:numId w:val="3"/>
        </w:numPr>
      </w:pPr>
      <w:r>
        <w:t>Mahkeme kararlarının da benzer durumlarda ÜAK işlemlerini iptal etmiş olması,</w:t>
      </w:r>
    </w:p>
    <w:p w14:paraId="4A2FF331" w14:textId="77777777" w:rsidR="00A0683C" w:rsidRDefault="00A0683C" w:rsidP="00A0683C">
      <w:pPr>
        <w:pStyle w:val="NormalWeb"/>
        <w:numPr>
          <w:ilvl w:val="0"/>
          <w:numId w:val="3"/>
        </w:numPr>
      </w:pPr>
      <w:r>
        <w:t>Doçentlik unvanını alamamam halinde telafisi güç ve imkânsız zararların doğacak olması,</w:t>
      </w:r>
    </w:p>
    <w:p w14:paraId="2C918E12" w14:textId="77777777" w:rsidR="00A0683C" w:rsidRDefault="00A0683C" w:rsidP="00A0683C">
      <w:pPr>
        <w:pStyle w:val="NormalWeb"/>
        <w:jc w:val="both"/>
      </w:pPr>
      <w:proofErr w:type="gramStart"/>
      <w:r>
        <w:t>hususları</w:t>
      </w:r>
      <w:proofErr w:type="gramEnd"/>
      <w:r>
        <w:t xml:space="preserve"> dikkate alınarak, </w:t>
      </w:r>
      <w:r>
        <w:rPr>
          <w:rStyle w:val="Gl"/>
        </w:rPr>
        <w:t>doçentlik başvurumun başarısızlık gerekçesiyle reddine ilişkin işlemin iptali</w:t>
      </w:r>
      <w:r>
        <w:t xml:space="preserve"> ve dosyamın yeniden değerlendirilmesi hususunda gereğini saygılarımla arz ederim.</w:t>
      </w:r>
    </w:p>
    <w:p w14:paraId="67041843" w14:textId="77777777" w:rsidR="00A0683C" w:rsidRDefault="00A0683C" w:rsidP="00A0683C">
      <w:pPr>
        <w:pStyle w:val="NormalWeb"/>
        <w:jc w:val="right"/>
      </w:pPr>
      <w:r>
        <w:br/>
        <w:t>İmza</w:t>
      </w:r>
    </w:p>
    <w:p w14:paraId="2323A65F" w14:textId="77777777" w:rsidR="00A0683C" w:rsidRDefault="00A0683C" w:rsidP="00A0683C">
      <w:pPr>
        <w:pStyle w:val="NormalWeb"/>
        <w:jc w:val="right"/>
      </w:pPr>
      <w:r>
        <w:rPr>
          <w:rStyle w:val="Gl"/>
        </w:rPr>
        <w:t>Adı Soyadı</w:t>
      </w:r>
      <w:r>
        <w:br/>
      </w:r>
    </w:p>
    <w:p w14:paraId="29B250CC" w14:textId="77777777" w:rsidR="00A0683C" w:rsidRDefault="00A0683C" w:rsidP="00A0683C">
      <w:pPr>
        <w:pStyle w:val="NormalWeb"/>
      </w:pPr>
      <w:r>
        <w:rPr>
          <w:rStyle w:val="Gl"/>
        </w:rPr>
        <w:t>Ekler:</w:t>
      </w:r>
      <w:r>
        <w:br/>
        <w:t>– Jüri raporları</w:t>
      </w:r>
      <w:r>
        <w:br/>
        <w:t>– Başvuru dosyası örneği</w:t>
      </w:r>
      <w:r>
        <w:br/>
        <w:t>– Emsal yargı kararları</w:t>
      </w:r>
    </w:p>
    <w:p w14:paraId="38D2641F" w14:textId="77777777" w:rsidR="00F32D18" w:rsidRDefault="00F32D18"/>
    <w:sectPr w:rsidR="00F3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7DA0"/>
    <w:multiLevelType w:val="multilevel"/>
    <w:tmpl w:val="7912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01FC5"/>
    <w:multiLevelType w:val="multilevel"/>
    <w:tmpl w:val="0EA0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169BC"/>
    <w:multiLevelType w:val="multilevel"/>
    <w:tmpl w:val="4EF8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3C"/>
    <w:rsid w:val="00787E4C"/>
    <w:rsid w:val="00A0683C"/>
    <w:rsid w:val="00E50976"/>
    <w:rsid w:val="00F3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BC70"/>
  <w15:chartTrackingRefBased/>
  <w15:docId w15:val="{9C993C48-62A9-4D29-A5A0-1950A535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068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068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068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068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A0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6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 b</cp:lastModifiedBy>
  <cp:revision>2</cp:revision>
  <dcterms:created xsi:type="dcterms:W3CDTF">2025-09-15T12:24:00Z</dcterms:created>
  <dcterms:modified xsi:type="dcterms:W3CDTF">2025-09-15T12:24:00Z</dcterms:modified>
</cp:coreProperties>
</file>